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E12BBB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33A4EABA" w:rsidR="006846F7" w:rsidRPr="0054714A" w:rsidRDefault="00B87096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Praha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7F6FC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7</w:t>
      </w:r>
      <w:r w:rsidR="006846F7">
        <w:rPr>
          <w:rFonts w:ascii="Arial" w:hAnsi="Arial" w:cs="Arial"/>
          <w:bCs/>
          <w:sz w:val="20"/>
          <w:szCs w:val="20"/>
        </w:rPr>
        <w:t>.</w:t>
      </w:r>
      <w:r w:rsidR="0085795A">
        <w:rPr>
          <w:rFonts w:ascii="Arial" w:hAnsi="Arial" w:cs="Arial"/>
          <w:bCs/>
          <w:sz w:val="20"/>
          <w:szCs w:val="20"/>
        </w:rPr>
        <w:t>1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85795A">
        <w:rPr>
          <w:rFonts w:ascii="Arial" w:hAnsi="Arial" w:cs="Arial"/>
          <w:bCs/>
          <w:sz w:val="20"/>
          <w:szCs w:val="20"/>
        </w:rPr>
        <w:t>4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DFAE54E" w14:textId="7E975048" w:rsidR="00B87096" w:rsidRDefault="004F5A00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Jedenatřicet českých cyklokrosařů v nominaci na MS</w:t>
      </w:r>
    </w:p>
    <w:p w14:paraId="43400846" w14:textId="77777777" w:rsidR="004F5A00" w:rsidRPr="006117E9" w:rsidRDefault="004F5A00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</w:p>
    <w:p w14:paraId="3EC1D721" w14:textId="015B886E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31 českých cyklokrosařů by se mělo postavit na start světového šampionátu, který se uskuteční 2. - 4. února v Táboře. Právě tolik jich n</w:t>
      </w:r>
      <w:r w:rsid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o</w:t>
      </w: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minoval reprezentační kouč Petr Klouček a nominaci schválila komise cyklokrosu Českého svazu cyklistiky po domácím šampionátu, který se jel o víkendu na shodné trati, na níž se bude bojovat o světové medaile.</w:t>
      </w:r>
    </w:p>
    <w:p w14:paraId="37F5FB5C" w14:textId="77777777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D66EE52" w14:textId="77777777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Nejvíce, celkem sedm, bude v pelotonu juniorek. Šest zástupců bude mít ČR na domácí trati juniorů a mužů kategorie U23. Pět zástupců v českém dresu pojede závod mužů, čtyři ženy budou na startu kategorie U23 a tři mezi závodnicemi </w:t>
      </w:r>
      <w:proofErr w:type="spellStart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elite</w:t>
      </w:r>
      <w:proofErr w:type="spell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33735389" w14:textId="77777777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60D197C1" w14:textId="77777777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„Vzhledem k tomu, že šampionát se jede na domácí půdě, tak jsme se snažili dát možnost startu co největšímu počtu jezdců. Rozhodovaly již výsledky v průběh sezony a poté také samozřejmě i mistrovství ČR, které se jelo na okruhu, jež bude hostit světovou elitu. Některé výsledky při domácím šampionátu ovlivnily defekty, někteří jezdci již měli jistou nominaci za výsledky v celé sezoně, v potaz byly brány také výsledky ve Světových pohárech,“ řekl k nominaci Petr Klouček.</w:t>
      </w:r>
    </w:p>
    <w:p w14:paraId="15A4D705" w14:textId="77777777" w:rsidR="00EC0AD1" w:rsidRDefault="00EC0AD1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1CBFD98" w14:textId="77777777" w:rsid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Trať jsme připravovali hlavně pro českou reprezentaci, aby měla nějakou výhodu. Její části jsou pojmenovány po našich legendách Fišerovi, Šimůnkovi, </w:t>
      </w:r>
      <w:proofErr w:type="spellStart"/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Štybarovi</w:t>
      </w:r>
      <w:proofErr w:type="spellEnd"/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či Dlaskovi," řekl šéf organizačního výboru mistrovství Petr Balogh.</w:t>
      </w:r>
    </w:p>
    <w:p w14:paraId="4A5FFE7A" w14:textId="77777777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C50B597" w14:textId="17A3D3C5" w:rsidR="00EC0AD1" w:rsidRPr="004F5A00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Upozornil na skutečnost, že diváci se mohou těšit i na tři velké obrazovky, které jim dokonale </w:t>
      </w:r>
      <w:proofErr w:type="gramStart"/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přiblíží</w:t>
      </w:r>
      <w:proofErr w:type="gramEnd"/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dění na okruhu, ale i vybudování celkem deseti tribun. "Chceme bláznivé a bouřící prostředí tak, aby diváci naše jezdce vyburcovali. K tomu by měl napomoci i značný počet bubeníků, kteří přijedou z jižní Moravy. Vyzývám všechny 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fanoušky,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aby přišli s vlajkami, trumpetami a píšťalami a věřím, že to bude ta nejlepší podpora pro dobré výsledky našich reprezentantů," přidal Petr Balogh.</w:t>
      </w:r>
    </w:p>
    <w:p w14:paraId="7C3E7927" w14:textId="77777777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63B7AA64" w14:textId="3366725F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Nominace:</w:t>
      </w:r>
    </w:p>
    <w:p w14:paraId="1810B205" w14:textId="77777777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Juniorky:</w:t>
      </w:r>
    </w:p>
    <w:p w14:paraId="538A2EAD" w14:textId="77777777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Kateřina Douděrová, Amálie Gottwaldová, Daniela </w:t>
      </w:r>
      <w:proofErr w:type="spellStart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Hezinová</w:t>
      </w:r>
      <w:proofErr w:type="spell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Anna Hrdinová, Anna </w:t>
      </w:r>
      <w:proofErr w:type="spellStart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Panušová</w:t>
      </w:r>
      <w:proofErr w:type="spell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, Veronika Sedláčková, Hanka Viková.</w:t>
      </w:r>
    </w:p>
    <w:p w14:paraId="3268102F" w14:textId="77777777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72D79E9" w14:textId="03BADAC9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Junioři:</w:t>
      </w:r>
    </w:p>
    <w:p w14:paraId="26AAE265" w14:textId="77777777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Kryštof Bažant, Tomáš Hájek, Matěj Havel, Jan Janout, Tomáš Kraus, Patrik </w:t>
      </w:r>
      <w:proofErr w:type="spellStart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Lienert</w:t>
      </w:r>
      <w:proofErr w:type="spell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3D7B5E88" w14:textId="77777777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4BC1530" w14:textId="1D43ECE3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Ž</w:t>
      </w: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eny U23:</w:t>
      </w:r>
    </w:p>
    <w:p w14:paraId="3E857368" w14:textId="77777777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Kateřina Hladíková, Barbora Jeřábková, Simona Spěšná, Kristýna Zemanová.</w:t>
      </w:r>
    </w:p>
    <w:p w14:paraId="627250F1" w14:textId="77777777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0A933A0" w14:textId="40E669B6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Muži U23:</w:t>
      </w:r>
    </w:p>
    <w:p w14:paraId="162E489C" w14:textId="77777777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Patrik Černý, Matyáš Fiala, Václav Ježek, Pavel Jindřich, Maximilián </w:t>
      </w:r>
      <w:proofErr w:type="spellStart"/>
      <w:proofErr w:type="gramStart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Kerl</w:t>
      </w:r>
      <w:proofErr w:type="spell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,  Jan</w:t>
      </w:r>
      <w:proofErr w:type="gram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Zatloukal.</w:t>
      </w:r>
    </w:p>
    <w:p w14:paraId="2642C0BF" w14:textId="77777777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8A44717" w14:textId="569827FC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Ženy:</w:t>
      </w:r>
    </w:p>
    <w:p w14:paraId="2147FC99" w14:textId="77777777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Nikola Nosková, Tereza Tvarůžková, Tereza Vaníčková.</w:t>
      </w:r>
    </w:p>
    <w:p w14:paraId="2F03C8C2" w14:textId="77777777" w:rsid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61B238BF" w14:textId="69E91CD3" w:rsidR="004F5A00" w:rsidRPr="004F5A00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Muži:</w:t>
      </w:r>
    </w:p>
    <w:p w14:paraId="2774A089" w14:textId="32178799" w:rsidR="007F6FC4" w:rsidRDefault="004F5A00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Michael </w:t>
      </w:r>
      <w:proofErr w:type="spellStart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Jakub Říman, Zdeněk </w:t>
      </w:r>
      <w:proofErr w:type="spellStart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Štybar</w:t>
      </w:r>
      <w:proofErr w:type="spell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Adam </w:t>
      </w:r>
      <w:proofErr w:type="spellStart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Ťoupalík</w:t>
      </w:r>
      <w:proofErr w:type="spellEnd"/>
      <w:r w:rsidRPr="004F5A00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, Šimon Vaníček</w:t>
      </w:r>
      <w:r w:rsidR="00B87096" w:rsidRPr="00B87096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4E2044BB" w14:textId="77777777" w:rsidR="00EC0AD1" w:rsidRDefault="00EC0AD1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28103C0" w14:textId="77777777" w:rsidR="00EC0AD1" w:rsidRDefault="00EC0AD1" w:rsidP="004F5A0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4AC6DE27" w14:textId="33F4E1D8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lastRenderedPageBreak/>
        <w:t>Program MS:</w:t>
      </w:r>
    </w:p>
    <w:p w14:paraId="1A478920" w14:textId="77777777" w:rsid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</w:p>
    <w:p w14:paraId="4A454AD2" w14:textId="5800303D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Pátek 2. února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:</w:t>
      </w:r>
    </w:p>
    <w:p w14:paraId="5F542D28" w14:textId="77777777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12:30 – týmová štafeta</w:t>
      </w:r>
    </w:p>
    <w:p w14:paraId="0704ADC0" w14:textId="77777777" w:rsid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3B5553B0" w14:textId="5A36E539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Sobota 3. února:</w:t>
      </w:r>
    </w:p>
    <w:p w14:paraId="53785FF4" w14:textId="27AD762F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11:00 –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uniorky</w:t>
      </w:r>
    </w:p>
    <w:p w14:paraId="4C05E563" w14:textId="21B1D4CF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12:30 –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uži U23</w:t>
      </w:r>
    </w:p>
    <w:p w14:paraId="193DE753" w14:textId="64FCE22B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14:30 –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Ž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eny </w:t>
      </w:r>
      <w:proofErr w:type="spellStart"/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elite</w:t>
      </w:r>
      <w:proofErr w:type="spellEnd"/>
    </w:p>
    <w:p w14:paraId="2D21EE7B" w14:textId="77777777" w:rsid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6E02541" w14:textId="598A63C2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Neděle 4. února:</w:t>
      </w:r>
    </w:p>
    <w:p w14:paraId="1002211B" w14:textId="6C61D23D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11:00 –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unioři</w:t>
      </w:r>
    </w:p>
    <w:p w14:paraId="3CBCD144" w14:textId="3A4A380D" w:rsidR="00EC0AD1" w:rsidRP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12:30 –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Ž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eny U23</w:t>
      </w:r>
    </w:p>
    <w:p w14:paraId="0E69620C" w14:textId="771E145D" w:rsidR="00EC0AD1" w:rsidRDefault="00EC0AD1" w:rsidP="00EC0AD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14:30 - 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</w:t>
      </w:r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uži </w:t>
      </w:r>
      <w:proofErr w:type="spellStart"/>
      <w:r w:rsidRPr="00EC0AD1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elite</w:t>
      </w:r>
      <w:proofErr w:type="spellEnd"/>
    </w:p>
    <w:p w14:paraId="13FD8552" w14:textId="77777777" w:rsidR="00B87096" w:rsidRDefault="00B87096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0BA3ACA0" w:rsidR="00BE2BE3" w:rsidRPr="00BE2BE3" w:rsidRDefault="00BE2BE3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4F5A00">
        <w:rPr>
          <w:rStyle w:val="dn"/>
          <w:rFonts w:ascii="Arial" w:hAnsi="Arial" w:cs="Arial"/>
          <w:sz w:val="20"/>
          <w:szCs w:val="20"/>
          <w:lang w:val="cs-CZ"/>
        </w:rPr>
        <w:t>Jan Brychta (volně k použití)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0CCCF52" w14:textId="1780F085" w:rsidR="00720602" w:rsidRPr="000A1D85" w:rsidRDefault="00000000" w:rsidP="000A1D85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sectPr w:rsidR="00720602" w:rsidRPr="000A1D85" w:rsidSect="00E12BBB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0C3E" w14:textId="77777777" w:rsidR="00E12BBB" w:rsidRDefault="00E12BBB">
      <w:pPr>
        <w:spacing w:after="0" w:line="240" w:lineRule="auto"/>
      </w:pPr>
      <w:r>
        <w:separator/>
      </w:r>
    </w:p>
  </w:endnote>
  <w:endnote w:type="continuationSeparator" w:id="0">
    <w:p w14:paraId="7DAE1A07" w14:textId="77777777" w:rsidR="00E12BBB" w:rsidRDefault="00E1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BA50" w14:textId="77777777" w:rsidR="00E12BBB" w:rsidRDefault="00E12BBB">
      <w:pPr>
        <w:spacing w:after="0" w:line="240" w:lineRule="auto"/>
      </w:pPr>
      <w:r>
        <w:separator/>
      </w:r>
    </w:p>
  </w:footnote>
  <w:footnote w:type="continuationSeparator" w:id="0">
    <w:p w14:paraId="5CC68443" w14:textId="77777777" w:rsidR="00E12BBB" w:rsidRDefault="00E1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30D"/>
    <w:multiLevelType w:val="hybridMultilevel"/>
    <w:tmpl w:val="360A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993"/>
    <w:multiLevelType w:val="hybridMultilevel"/>
    <w:tmpl w:val="E6CA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1"/>
  </w:num>
  <w:num w:numId="2" w16cid:durableId="436024130">
    <w:abstractNumId w:val="0"/>
  </w:num>
  <w:num w:numId="3" w16cid:durableId="188247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14CAB"/>
    <w:rsid w:val="0007162F"/>
    <w:rsid w:val="000A1D85"/>
    <w:rsid w:val="00141997"/>
    <w:rsid w:val="00145B3D"/>
    <w:rsid w:val="00164D17"/>
    <w:rsid w:val="00177DBB"/>
    <w:rsid w:val="00205952"/>
    <w:rsid w:val="00231848"/>
    <w:rsid w:val="002A46A4"/>
    <w:rsid w:val="002D506A"/>
    <w:rsid w:val="003126F0"/>
    <w:rsid w:val="00323E77"/>
    <w:rsid w:val="003426BC"/>
    <w:rsid w:val="003962CE"/>
    <w:rsid w:val="00397D32"/>
    <w:rsid w:val="003D1A2B"/>
    <w:rsid w:val="00402C4D"/>
    <w:rsid w:val="0041133D"/>
    <w:rsid w:val="00417F91"/>
    <w:rsid w:val="004B6AB5"/>
    <w:rsid w:val="004E4EBB"/>
    <w:rsid w:val="004E654A"/>
    <w:rsid w:val="004F5A00"/>
    <w:rsid w:val="0054714A"/>
    <w:rsid w:val="005A28FA"/>
    <w:rsid w:val="005F0162"/>
    <w:rsid w:val="005F58B8"/>
    <w:rsid w:val="00605D87"/>
    <w:rsid w:val="006117E9"/>
    <w:rsid w:val="006245A7"/>
    <w:rsid w:val="00661896"/>
    <w:rsid w:val="006846F7"/>
    <w:rsid w:val="006A4217"/>
    <w:rsid w:val="006C01C9"/>
    <w:rsid w:val="006E42EE"/>
    <w:rsid w:val="006E6326"/>
    <w:rsid w:val="00702BF4"/>
    <w:rsid w:val="00717571"/>
    <w:rsid w:val="00720602"/>
    <w:rsid w:val="007F6FC4"/>
    <w:rsid w:val="00854DF9"/>
    <w:rsid w:val="0085795A"/>
    <w:rsid w:val="00867BA7"/>
    <w:rsid w:val="00881257"/>
    <w:rsid w:val="008F748E"/>
    <w:rsid w:val="0090026F"/>
    <w:rsid w:val="009233C1"/>
    <w:rsid w:val="00967F69"/>
    <w:rsid w:val="00971784"/>
    <w:rsid w:val="00991679"/>
    <w:rsid w:val="009B0DE9"/>
    <w:rsid w:val="009E626C"/>
    <w:rsid w:val="00A0576C"/>
    <w:rsid w:val="00A111FF"/>
    <w:rsid w:val="00A128A6"/>
    <w:rsid w:val="00A90A9C"/>
    <w:rsid w:val="00A9293D"/>
    <w:rsid w:val="00A946B1"/>
    <w:rsid w:val="00AC2EED"/>
    <w:rsid w:val="00AE4369"/>
    <w:rsid w:val="00B87096"/>
    <w:rsid w:val="00BA59A2"/>
    <w:rsid w:val="00BC6874"/>
    <w:rsid w:val="00BE2BE3"/>
    <w:rsid w:val="00C2285A"/>
    <w:rsid w:val="00C40275"/>
    <w:rsid w:val="00C515C0"/>
    <w:rsid w:val="00CE70C4"/>
    <w:rsid w:val="00D13B36"/>
    <w:rsid w:val="00D16043"/>
    <w:rsid w:val="00D41EED"/>
    <w:rsid w:val="00D523A1"/>
    <w:rsid w:val="00D91A39"/>
    <w:rsid w:val="00DC499D"/>
    <w:rsid w:val="00E03B32"/>
    <w:rsid w:val="00E12BBB"/>
    <w:rsid w:val="00E4636D"/>
    <w:rsid w:val="00E90502"/>
    <w:rsid w:val="00EC0AD1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2024-01-16T12:05:00Z</dcterms:created>
  <dcterms:modified xsi:type="dcterms:W3CDTF">2024-01-16T14:12:00Z</dcterms:modified>
</cp:coreProperties>
</file>